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B6631" w14:textId="30910C6C" w:rsidR="00FB00AD" w:rsidRPr="002B46EF" w:rsidRDefault="00D34579" w:rsidP="002B46EF">
      <w:pPr>
        <w:jc w:val="center"/>
        <w:rPr>
          <w:b/>
          <w:bCs/>
        </w:rPr>
      </w:pPr>
      <w:r w:rsidRPr="002B46EF">
        <w:rPr>
          <w:b/>
          <w:bCs/>
        </w:rPr>
        <w:t>Attachment H: Massive Transfusion Guidelines</w:t>
      </w:r>
    </w:p>
    <w:p w14:paraId="06B57452" w14:textId="77777777" w:rsidR="002B46EF" w:rsidRDefault="002B46EF" w:rsidP="002B46E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ANDROSCOGGIN VALLEY HOSPITAL</w:t>
      </w:r>
    </w:p>
    <w:p w14:paraId="7A3C2EF9" w14:textId="77777777" w:rsidR="002B46EF" w:rsidRDefault="002B46EF" w:rsidP="002B46EF">
      <w:pPr>
        <w:spacing w:after="0"/>
        <w:jc w:val="center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i/>
          <w:sz w:val="16"/>
          <w:szCs w:val="20"/>
        </w:rPr>
        <w:t>A CRITICAL ACCESS HOSPITAL</w:t>
      </w:r>
    </w:p>
    <w:p w14:paraId="71E307B5" w14:textId="77777777" w:rsidR="002B46EF" w:rsidRDefault="002B46EF" w:rsidP="002B46E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EMERGENCY DEPARTMENT</w:t>
      </w:r>
    </w:p>
    <w:p w14:paraId="2DAB9155" w14:textId="77777777" w:rsidR="002B46EF" w:rsidRDefault="002B46EF" w:rsidP="002B46E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29F336FB" w14:textId="77777777" w:rsidR="002B46EF" w:rsidRPr="00DE3CC5" w:rsidRDefault="002B46EF" w:rsidP="002B46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E3CC5">
        <w:rPr>
          <w:rFonts w:ascii="Times New Roman" w:hAnsi="Times New Roman" w:cs="Times New Roman"/>
          <w:b/>
          <w:sz w:val="28"/>
          <w:szCs w:val="28"/>
        </w:rPr>
        <w:t>Massive Transfusion Protocol</w:t>
      </w:r>
    </w:p>
    <w:p w14:paraId="72911180" w14:textId="77777777" w:rsidR="002B46EF" w:rsidRPr="00526299" w:rsidRDefault="002B46EF" w:rsidP="002B46E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February 24</w:t>
      </w:r>
      <w:r w:rsidRPr="00526299">
        <w:rPr>
          <w:rFonts w:ascii="Times New Roman" w:hAnsi="Times New Roman" w:cs="Times New Roman"/>
          <w:sz w:val="20"/>
          <w:szCs w:val="20"/>
        </w:rPr>
        <w:t>, 202</w:t>
      </w:r>
      <w:r>
        <w:rPr>
          <w:rFonts w:ascii="Times New Roman" w:hAnsi="Times New Roman" w:cs="Times New Roman"/>
          <w:sz w:val="20"/>
          <w:szCs w:val="20"/>
        </w:rPr>
        <w:t>2</w:t>
      </w:r>
    </w:p>
    <w:p w14:paraId="42593EEE" w14:textId="77777777" w:rsidR="002B46EF" w:rsidRPr="00526299" w:rsidRDefault="002B46EF" w:rsidP="002B46E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74D00BCC" w14:textId="77777777" w:rsidR="002B46EF" w:rsidRPr="00526299" w:rsidRDefault="002B46EF" w:rsidP="002B46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  <w:u w:val="single"/>
        </w:rPr>
        <w:t>Purpose:</w:t>
      </w:r>
    </w:p>
    <w:p w14:paraId="6C617B0E" w14:textId="77777777" w:rsidR="002B46EF" w:rsidRPr="00526299" w:rsidRDefault="002B46EF" w:rsidP="002B46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2BAC24B" w14:textId="77777777" w:rsidR="002B46EF" w:rsidRPr="00526299" w:rsidRDefault="002B46EF" w:rsidP="002B46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To outline the p</w:t>
      </w:r>
      <w:r w:rsidRPr="00526299">
        <w:rPr>
          <w:rFonts w:ascii="Times New Roman" w:hAnsi="Times New Roman" w:cs="Times New Roman"/>
          <w:sz w:val="20"/>
          <w:szCs w:val="20"/>
        </w:rPr>
        <w:t xml:space="preserve">rocedure for massive blood transfusion where &gt; 10 units of Packed Red Blood Cells (PRBCs) are used within 24 hours or </w:t>
      </w:r>
      <w:r w:rsidRPr="00526299">
        <w:rPr>
          <w:rFonts w:ascii="Times New Roman" w:hAnsi="Times New Roman" w:cs="Times New Roman"/>
          <w:sz w:val="20"/>
          <w:szCs w:val="20"/>
          <w:u w:val="single"/>
        </w:rPr>
        <w:t xml:space="preserve">&gt; </w:t>
      </w:r>
      <w:r w:rsidRPr="00526299">
        <w:rPr>
          <w:rFonts w:ascii="Times New Roman" w:hAnsi="Times New Roman" w:cs="Times New Roman"/>
          <w:sz w:val="20"/>
          <w:szCs w:val="20"/>
        </w:rPr>
        <w:t>4 units of PRBCs in &lt; 4 hours with ongoing bleeding.</w:t>
      </w:r>
    </w:p>
    <w:p w14:paraId="01BC9AFB" w14:textId="77777777" w:rsidR="002B46EF" w:rsidRPr="00526299" w:rsidRDefault="002B46EF" w:rsidP="002B46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B9239AB" w14:textId="77777777" w:rsidR="002B46EF" w:rsidRPr="00526299" w:rsidRDefault="002B46EF" w:rsidP="002B46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  <w:u w:val="single"/>
        </w:rPr>
        <w:t>General:</w:t>
      </w:r>
    </w:p>
    <w:p w14:paraId="73BB2E96" w14:textId="77777777" w:rsidR="002B46EF" w:rsidRPr="00526299" w:rsidRDefault="002B46EF" w:rsidP="002B46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EF71CB0" w14:textId="77777777" w:rsidR="002B46EF" w:rsidRPr="00526299" w:rsidRDefault="002B46EF" w:rsidP="002B46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Indications:</w:t>
      </w:r>
    </w:p>
    <w:p w14:paraId="191470DE" w14:textId="77777777" w:rsidR="002B46EF" w:rsidRPr="00526299" w:rsidRDefault="002B46EF" w:rsidP="002B46E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Assessment of Blood Consumption (ABC) Score (a score of &lt; 2 unlikely to require MTP).</w:t>
      </w:r>
    </w:p>
    <w:p w14:paraId="403AC1E6" w14:textId="77777777" w:rsidR="002B46EF" w:rsidRPr="00526299" w:rsidRDefault="002B46EF" w:rsidP="002B46EF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Penetrating mechanism.</w:t>
      </w:r>
    </w:p>
    <w:p w14:paraId="292D78CF" w14:textId="77777777" w:rsidR="002B46EF" w:rsidRPr="00526299" w:rsidRDefault="002B46EF" w:rsidP="002B46EF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 xml:space="preserve">Systolic blood pressure </w:t>
      </w:r>
      <w:r w:rsidRPr="00526299">
        <w:rPr>
          <w:rFonts w:ascii="Times New Roman" w:hAnsi="Times New Roman" w:cs="Times New Roman"/>
          <w:sz w:val="20"/>
          <w:szCs w:val="20"/>
          <w:u w:val="single"/>
        </w:rPr>
        <w:t>&lt;</w:t>
      </w:r>
      <w:r w:rsidRPr="00526299">
        <w:rPr>
          <w:rFonts w:ascii="Times New Roman" w:hAnsi="Times New Roman" w:cs="Times New Roman"/>
          <w:sz w:val="20"/>
          <w:szCs w:val="20"/>
        </w:rPr>
        <w:t xml:space="preserve"> 90 mmHg.</w:t>
      </w:r>
    </w:p>
    <w:p w14:paraId="50807863" w14:textId="77777777" w:rsidR="002B46EF" w:rsidRPr="00526299" w:rsidRDefault="002B46EF" w:rsidP="002B46EF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Heart rate &gt; 120 bpm.</w:t>
      </w:r>
    </w:p>
    <w:p w14:paraId="6B9749F9" w14:textId="77777777" w:rsidR="002B46EF" w:rsidRPr="00526299" w:rsidRDefault="002B46EF" w:rsidP="002B46EF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Positive FAST exam.</w:t>
      </w:r>
    </w:p>
    <w:p w14:paraId="25FDD7C2" w14:textId="77777777" w:rsidR="002B46EF" w:rsidRPr="00526299" w:rsidRDefault="002B46EF" w:rsidP="002B46E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Persistent hemodynamic instability.</w:t>
      </w:r>
    </w:p>
    <w:p w14:paraId="164B0286" w14:textId="77777777" w:rsidR="002B46EF" w:rsidRPr="00526299" w:rsidRDefault="002B46EF" w:rsidP="002B46E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ab/>
        <w:t>3.  Active bleeding requiring operation or angioembolization.</w:t>
      </w:r>
    </w:p>
    <w:p w14:paraId="56AC8860" w14:textId="77777777" w:rsidR="002B46EF" w:rsidRPr="00526299" w:rsidRDefault="002B46EF" w:rsidP="002B46E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ab/>
        <w:t>4.  Blood transfusion in the trauma bay.</w:t>
      </w:r>
    </w:p>
    <w:p w14:paraId="33F89F78" w14:textId="77777777" w:rsidR="002B46EF" w:rsidRPr="00526299" w:rsidRDefault="002B46EF" w:rsidP="002B46E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14:paraId="640A9B34" w14:textId="77777777" w:rsidR="002B46EF" w:rsidRPr="00526299" w:rsidRDefault="002B46EF" w:rsidP="002B46E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Laboratory Testing:</w:t>
      </w:r>
    </w:p>
    <w:p w14:paraId="05F10737" w14:textId="77777777" w:rsidR="002B46EF" w:rsidRPr="00526299" w:rsidRDefault="002B46EF" w:rsidP="002B46EF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 xml:space="preserve">Blood type, </w:t>
      </w:r>
      <w:proofErr w:type="gramStart"/>
      <w:r w:rsidRPr="00526299">
        <w:rPr>
          <w:rFonts w:ascii="Times New Roman" w:hAnsi="Times New Roman" w:cs="Times New Roman"/>
          <w:sz w:val="20"/>
          <w:szCs w:val="20"/>
        </w:rPr>
        <w:t>screen</w:t>
      </w:r>
      <w:proofErr w:type="gramEnd"/>
      <w:r w:rsidRPr="00526299">
        <w:rPr>
          <w:rFonts w:ascii="Times New Roman" w:hAnsi="Times New Roman" w:cs="Times New Roman"/>
          <w:sz w:val="20"/>
          <w:szCs w:val="20"/>
        </w:rPr>
        <w:t xml:space="preserve"> and cross match (order 2-4 units to begin).</w:t>
      </w:r>
    </w:p>
    <w:p w14:paraId="0AAE7CFC" w14:textId="77777777" w:rsidR="002B46EF" w:rsidRPr="00526299" w:rsidRDefault="002B46EF" w:rsidP="002B46EF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CBC, PT/INR, PTT, fibrinogen.</w:t>
      </w:r>
    </w:p>
    <w:p w14:paraId="62FD8545" w14:textId="77777777" w:rsidR="002B46EF" w:rsidRPr="00526299" w:rsidRDefault="002B46EF" w:rsidP="002B46EF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CMP, ionized calcium.</w:t>
      </w:r>
    </w:p>
    <w:p w14:paraId="32EE8AF9" w14:textId="77777777" w:rsidR="002B46EF" w:rsidRPr="00526299" w:rsidRDefault="002B46EF" w:rsidP="002B46EF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VBG/ABG if concern for significant acidemia.</w:t>
      </w:r>
    </w:p>
    <w:p w14:paraId="0456434F" w14:textId="77777777" w:rsidR="002B46EF" w:rsidRPr="00526299" w:rsidRDefault="002B46EF" w:rsidP="002B46E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0"/>
          <w:szCs w:val="20"/>
          <w:u w:val="single"/>
        </w:rPr>
      </w:pPr>
    </w:p>
    <w:p w14:paraId="7C60E0CC" w14:textId="77777777" w:rsidR="002B46EF" w:rsidRPr="00526299" w:rsidRDefault="002B46EF" w:rsidP="002B46EF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526299">
        <w:rPr>
          <w:rFonts w:ascii="Times New Roman" w:hAnsi="Times New Roman" w:cs="Times New Roman"/>
          <w:sz w:val="20"/>
          <w:szCs w:val="20"/>
          <w:u w:val="single"/>
        </w:rPr>
        <w:t>Procedure:</w:t>
      </w:r>
    </w:p>
    <w:p w14:paraId="2B9CEDAB" w14:textId="77777777" w:rsidR="002B46EF" w:rsidRPr="00526299" w:rsidRDefault="002B46EF" w:rsidP="002B46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E5680D4" w14:textId="77777777" w:rsidR="002B46EF" w:rsidRPr="00526299" w:rsidRDefault="002B46EF" w:rsidP="002B46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Start of Massive Transfusion:</w:t>
      </w:r>
    </w:p>
    <w:p w14:paraId="17991857" w14:textId="77777777" w:rsidR="002B46EF" w:rsidRPr="00526299" w:rsidRDefault="002B46EF" w:rsidP="002B46EF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If massive transfusion protocol</w:t>
      </w:r>
      <w:r>
        <w:rPr>
          <w:rFonts w:ascii="Times New Roman" w:hAnsi="Times New Roman" w:cs="Times New Roman"/>
          <w:sz w:val="20"/>
          <w:szCs w:val="20"/>
        </w:rPr>
        <w:t xml:space="preserve"> (MTP)</w:t>
      </w:r>
      <w:r w:rsidRPr="00526299">
        <w:rPr>
          <w:rFonts w:ascii="Times New Roman" w:hAnsi="Times New Roman" w:cs="Times New Roman"/>
          <w:sz w:val="20"/>
          <w:szCs w:val="20"/>
        </w:rPr>
        <w:t xml:space="preserve"> indications are met, begin with universal blood product (Type O Rh neg and type O Rh pos) infusion rather than crystalloid or colloid solutions. Group O Rh neg should be reserved for women of child-bearing potential.</w:t>
      </w:r>
    </w:p>
    <w:p w14:paraId="6747747B" w14:textId="77777777" w:rsidR="002B46EF" w:rsidRPr="00526299" w:rsidRDefault="002B46EF" w:rsidP="002B46EF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Transfuse PRBCs and plasma in a ratio of 1:1 to 1:2 (plasma to PRBCs).</w:t>
      </w:r>
    </w:p>
    <w:p w14:paraId="3B4C7956" w14:textId="77777777" w:rsidR="002B46EF" w:rsidRPr="00526299" w:rsidRDefault="002B46EF" w:rsidP="002B46EF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Transfuse one single donor apheresis or random donor platelet pool for every eight units of PRBCs. Platelets will take a minimum of 3-4 hours for availability.</w:t>
      </w:r>
    </w:p>
    <w:p w14:paraId="7FD7AC3C" w14:textId="77777777" w:rsidR="002B46EF" w:rsidRPr="00526299" w:rsidRDefault="002B46EF" w:rsidP="002B46EF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PRBCs and plasma should be delivered by a rapid transfuser and through a blood warmer. Platelets should not be administered through a blood warmer.</w:t>
      </w:r>
    </w:p>
    <w:p w14:paraId="0FF76B64" w14:textId="77777777" w:rsidR="002B46EF" w:rsidRPr="00526299" w:rsidRDefault="002B46EF" w:rsidP="002B46EF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Initial rate of transfusion should restore perfusion but allow for permissive hypotension until operative procedure to stop bleeding has begun.</w:t>
      </w:r>
    </w:p>
    <w:p w14:paraId="21DF9CE4" w14:textId="77777777" w:rsidR="002B46EF" w:rsidRPr="00526299" w:rsidRDefault="002B46EF" w:rsidP="002B46EF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 xml:space="preserve">As soon as the patient’s blood type/Rh can be determined, </w:t>
      </w:r>
      <w:proofErr w:type="spellStart"/>
      <w:r w:rsidRPr="00526299">
        <w:rPr>
          <w:rFonts w:ascii="Times New Roman" w:hAnsi="Times New Roman" w:cs="Times New Roman"/>
          <w:sz w:val="20"/>
          <w:szCs w:val="20"/>
        </w:rPr>
        <w:t>uncrossmatched</w:t>
      </w:r>
      <w:proofErr w:type="spellEnd"/>
      <w:r w:rsidRPr="00526299">
        <w:rPr>
          <w:rFonts w:ascii="Times New Roman" w:hAnsi="Times New Roman" w:cs="Times New Roman"/>
          <w:sz w:val="20"/>
          <w:szCs w:val="20"/>
        </w:rPr>
        <w:t xml:space="preserve"> group specific blood will be transfused.</w:t>
      </w:r>
    </w:p>
    <w:p w14:paraId="1A92AE32" w14:textId="77777777" w:rsidR="002B46EF" w:rsidRPr="00526299" w:rsidRDefault="002B46EF" w:rsidP="002B46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8318610" w14:textId="77777777" w:rsidR="002B46EF" w:rsidRPr="00526299" w:rsidRDefault="002B46EF" w:rsidP="002B46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Nursing Interventions:</w:t>
      </w:r>
    </w:p>
    <w:p w14:paraId="6EF0DBBE" w14:textId="77777777" w:rsidR="002B46EF" w:rsidRPr="00526299" w:rsidRDefault="002B46EF" w:rsidP="002B46EF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IV pump max infusion rate of 1500 ml/hr. Use pressure bags for more rapid infusion.</w:t>
      </w:r>
    </w:p>
    <w:p w14:paraId="292AF040" w14:textId="77777777" w:rsidR="002B46EF" w:rsidRPr="00526299" w:rsidRDefault="002B46EF" w:rsidP="002B46EF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Ensure placement of 2 large bore IVs (14g to 18g).</w:t>
      </w:r>
    </w:p>
    <w:p w14:paraId="6F4F9433" w14:textId="77777777" w:rsidR="002B46EF" w:rsidRPr="00526299" w:rsidRDefault="002B46EF" w:rsidP="002B46EF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Warm blood with blood warmer (particularly important if &gt;3 units of PRBCs infused).</w:t>
      </w:r>
    </w:p>
    <w:p w14:paraId="5AF55745" w14:textId="77777777" w:rsidR="002B46EF" w:rsidRPr="00526299" w:rsidRDefault="002B46EF" w:rsidP="002B46EF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Maintain normothermia to prevent hypothermia induced coagulopathies. Core temperature &gt; 96.8 F (36 C).</w:t>
      </w:r>
    </w:p>
    <w:p w14:paraId="1121DDE4" w14:textId="77777777" w:rsidR="002B46EF" w:rsidRPr="00526299" w:rsidRDefault="002B46EF" w:rsidP="002B46EF">
      <w:pPr>
        <w:pStyle w:val="ListParagraph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lastRenderedPageBreak/>
        <w:t>Monitor temperature every 15-30 minutes or continuous bladder or rectal temperature monitoring as indicated.</w:t>
      </w:r>
    </w:p>
    <w:p w14:paraId="5B4A35EA" w14:textId="77777777" w:rsidR="002B46EF" w:rsidRPr="00526299" w:rsidRDefault="002B46EF" w:rsidP="002B46EF">
      <w:pPr>
        <w:pStyle w:val="ListParagraph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 xml:space="preserve">Provide external warming measures </w:t>
      </w:r>
      <w:proofErr w:type="gramStart"/>
      <w:r w:rsidRPr="00526299">
        <w:rPr>
          <w:rFonts w:ascii="Times New Roman" w:hAnsi="Times New Roman" w:cs="Times New Roman"/>
          <w:sz w:val="20"/>
          <w:szCs w:val="20"/>
        </w:rPr>
        <w:t>including:</w:t>
      </w:r>
      <w:proofErr w:type="gramEnd"/>
      <w:r w:rsidRPr="00526299">
        <w:rPr>
          <w:rFonts w:ascii="Times New Roman" w:hAnsi="Times New Roman" w:cs="Times New Roman"/>
          <w:sz w:val="20"/>
          <w:szCs w:val="20"/>
        </w:rPr>
        <w:t xml:space="preserve"> warmed linens, increased room temperature, warming blanket, Bair Hugger.</w:t>
      </w:r>
    </w:p>
    <w:p w14:paraId="490333CA" w14:textId="77777777" w:rsidR="002B46EF" w:rsidRPr="00526299" w:rsidRDefault="002B46EF" w:rsidP="002B46EF">
      <w:pPr>
        <w:pStyle w:val="ListParagraph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Administer warmed IV fluids.</w:t>
      </w:r>
    </w:p>
    <w:p w14:paraId="1AE6A7CC" w14:textId="77777777" w:rsidR="002B46EF" w:rsidRPr="00526299" w:rsidRDefault="002B46EF" w:rsidP="002B46EF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Assess urine output every 30-60 minutes to evaluate fluid status.</w:t>
      </w:r>
    </w:p>
    <w:p w14:paraId="1DC007AA" w14:textId="77777777" w:rsidR="002B46EF" w:rsidRPr="00526299" w:rsidRDefault="002B46EF" w:rsidP="002B46EF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Inspect IV sites every 15 minutes with rapid infusions.</w:t>
      </w:r>
    </w:p>
    <w:p w14:paraId="6AF2D454" w14:textId="77777777" w:rsidR="002B46EF" w:rsidRPr="00526299" w:rsidRDefault="002B46EF" w:rsidP="002B46EF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 xml:space="preserve">Monitor closely for signs of transfusion reaction </w:t>
      </w:r>
      <w:proofErr w:type="gramStart"/>
      <w:r w:rsidRPr="00526299">
        <w:rPr>
          <w:rFonts w:ascii="Times New Roman" w:hAnsi="Times New Roman" w:cs="Times New Roman"/>
          <w:sz w:val="20"/>
          <w:szCs w:val="20"/>
        </w:rPr>
        <w:t>including:</w:t>
      </w:r>
      <w:proofErr w:type="gramEnd"/>
      <w:r w:rsidRPr="00526299">
        <w:rPr>
          <w:rFonts w:ascii="Times New Roman" w:hAnsi="Times New Roman" w:cs="Times New Roman"/>
          <w:sz w:val="20"/>
          <w:szCs w:val="20"/>
        </w:rPr>
        <w:t xml:space="preserve"> fever, chills, flushing, nausea, chest tightness, restlessness, apprehension and back pain.</w:t>
      </w:r>
    </w:p>
    <w:p w14:paraId="00C896FA" w14:textId="77777777" w:rsidR="002B46EF" w:rsidRPr="00526299" w:rsidRDefault="002B46EF" w:rsidP="002B46EF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Document all interventions and assessments in the</w:t>
      </w:r>
      <w:r>
        <w:rPr>
          <w:rFonts w:ascii="Times New Roman" w:hAnsi="Times New Roman" w:cs="Times New Roman"/>
          <w:sz w:val="20"/>
          <w:szCs w:val="20"/>
        </w:rPr>
        <w:t xml:space="preserve"> Electronic Medical Record</w:t>
      </w:r>
      <w:r w:rsidRPr="0052629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(</w:t>
      </w:r>
      <w:r w:rsidRPr="00526299">
        <w:rPr>
          <w:rFonts w:ascii="Times New Roman" w:hAnsi="Times New Roman" w:cs="Times New Roman"/>
          <w:sz w:val="20"/>
          <w:szCs w:val="20"/>
        </w:rPr>
        <w:t>EMR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526299">
        <w:rPr>
          <w:rFonts w:ascii="Times New Roman" w:hAnsi="Times New Roman" w:cs="Times New Roman"/>
          <w:sz w:val="20"/>
          <w:szCs w:val="20"/>
        </w:rPr>
        <w:t>.</w:t>
      </w:r>
    </w:p>
    <w:p w14:paraId="2A549D0F" w14:textId="77777777" w:rsidR="002B46EF" w:rsidRPr="00526299" w:rsidRDefault="002B46EF" w:rsidP="002B46E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14:paraId="0B1A10AF" w14:textId="77777777" w:rsidR="002B46EF" w:rsidRPr="00526299" w:rsidRDefault="002B46EF" w:rsidP="002B46E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Endpoints of Transfusion</w:t>
      </w:r>
      <w:r>
        <w:rPr>
          <w:rFonts w:ascii="Times New Roman" w:hAnsi="Times New Roman" w:cs="Times New Roman"/>
          <w:sz w:val="20"/>
          <w:szCs w:val="20"/>
        </w:rPr>
        <w:t>:</w:t>
      </w:r>
    </w:p>
    <w:p w14:paraId="01FECC74" w14:textId="77777777" w:rsidR="002B46EF" w:rsidRPr="00526299" w:rsidRDefault="002B46EF" w:rsidP="002B46E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Ratio driven massive transfusion may be discontinued or downgraded to goal directed transfusion based on the laboratory findings if bleeding has been controlled.</w:t>
      </w:r>
    </w:p>
    <w:p w14:paraId="26F622D2" w14:textId="77777777" w:rsidR="002B46EF" w:rsidRPr="00526299" w:rsidRDefault="002B46EF" w:rsidP="002B46E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The following should be used as guides to cease therapy in a patient who is not actively bleeding and is still in the acute resuscitation phase:</w:t>
      </w:r>
    </w:p>
    <w:p w14:paraId="4BA2959D" w14:textId="77777777" w:rsidR="002B46EF" w:rsidRPr="00526299" w:rsidRDefault="002B46EF" w:rsidP="002B46EF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Hemoglobin &gt; 10 g/dL (Stop PRBC transfusion).</w:t>
      </w:r>
    </w:p>
    <w:p w14:paraId="37528D87" w14:textId="77777777" w:rsidR="002B46EF" w:rsidRPr="00526299" w:rsidRDefault="002B46EF" w:rsidP="002B46EF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Prothrombin time (PT)/INR &lt; 18 seconds/1.8 (Stop plasma transfusion).</w:t>
      </w:r>
    </w:p>
    <w:p w14:paraId="750C3BF9" w14:textId="77777777" w:rsidR="002B46EF" w:rsidRPr="00526299" w:rsidRDefault="002B46EF" w:rsidP="002B46EF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Activated partial thromboplastin time (</w:t>
      </w:r>
      <w:proofErr w:type="spellStart"/>
      <w:r w:rsidRPr="00526299">
        <w:rPr>
          <w:rFonts w:ascii="Times New Roman" w:hAnsi="Times New Roman" w:cs="Times New Roman"/>
          <w:sz w:val="20"/>
          <w:szCs w:val="20"/>
        </w:rPr>
        <w:t>aPTT</w:t>
      </w:r>
      <w:proofErr w:type="spellEnd"/>
      <w:r w:rsidRPr="00526299">
        <w:rPr>
          <w:rFonts w:ascii="Times New Roman" w:hAnsi="Times New Roman" w:cs="Times New Roman"/>
          <w:sz w:val="20"/>
          <w:szCs w:val="20"/>
        </w:rPr>
        <w:t>) &lt; 35 seconds (Stop plasma transfusion).</w:t>
      </w:r>
    </w:p>
    <w:p w14:paraId="7165A7AE" w14:textId="77777777" w:rsidR="002B46EF" w:rsidRPr="00526299" w:rsidRDefault="002B46EF" w:rsidP="002B46EF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Platelet count &gt; 150 K/</w:t>
      </w:r>
      <w:proofErr w:type="spellStart"/>
      <w:r w:rsidRPr="00526299">
        <w:rPr>
          <w:rFonts w:ascii="Times New Roman" w:hAnsi="Times New Roman" w:cs="Times New Roman"/>
          <w:sz w:val="20"/>
          <w:szCs w:val="20"/>
        </w:rPr>
        <w:t>uL</w:t>
      </w:r>
      <w:proofErr w:type="spellEnd"/>
      <w:r w:rsidRPr="00526299">
        <w:rPr>
          <w:rFonts w:ascii="Times New Roman" w:hAnsi="Times New Roman" w:cs="Times New Roman"/>
          <w:sz w:val="20"/>
          <w:szCs w:val="20"/>
        </w:rPr>
        <w:t xml:space="preserve"> (Stop platelet transfusion).</w:t>
      </w:r>
    </w:p>
    <w:p w14:paraId="63DEB186" w14:textId="77777777" w:rsidR="002B46EF" w:rsidRPr="00526299" w:rsidRDefault="002B46EF" w:rsidP="002B46EF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Fibrinogen level &gt; 180 g/L (Stop cryoprecipitate/fibrinogen transfusion).</w:t>
      </w:r>
    </w:p>
    <w:p w14:paraId="714D507F" w14:textId="77777777" w:rsidR="002B46EF" w:rsidRPr="00526299" w:rsidRDefault="002B46EF" w:rsidP="002B46E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Discontinue when there is recognition that further resuscitation is futile.</w:t>
      </w:r>
    </w:p>
    <w:p w14:paraId="3E160AC7" w14:textId="77777777" w:rsidR="002B46EF" w:rsidRPr="00526299" w:rsidRDefault="002B46EF" w:rsidP="002B46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EA84AD5" w14:textId="77777777" w:rsidR="002B46EF" w:rsidRPr="00526299" w:rsidRDefault="002B46EF" w:rsidP="002B46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Additional Considerations in Massive Transfusion:</w:t>
      </w:r>
    </w:p>
    <w:p w14:paraId="494BC5B7" w14:textId="77777777" w:rsidR="002B46EF" w:rsidRPr="00526299" w:rsidRDefault="002B46EF" w:rsidP="002B46EF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Fibrinogen (i.e. Cryoprecipitate).</w:t>
      </w:r>
    </w:p>
    <w:p w14:paraId="7AECCC87" w14:textId="77777777" w:rsidR="002B46EF" w:rsidRPr="00526299" w:rsidRDefault="002B46EF" w:rsidP="002B46EF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May be important in obstetric hemorrhage.</w:t>
      </w:r>
    </w:p>
    <w:p w14:paraId="696F4915" w14:textId="77777777" w:rsidR="002B46EF" w:rsidRPr="00526299" w:rsidRDefault="002B46EF" w:rsidP="002B46EF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Consider 1:1:1:1 ratio of PRBCs: FFP: Platelets: Fibrinogen.</w:t>
      </w:r>
    </w:p>
    <w:p w14:paraId="6D539626" w14:textId="77777777" w:rsidR="002B46EF" w:rsidRPr="00526299" w:rsidRDefault="002B46EF" w:rsidP="002B46EF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Fibrinogen is not administered through a warmer.</w:t>
      </w:r>
    </w:p>
    <w:p w14:paraId="3AB422BF" w14:textId="77777777" w:rsidR="002B46EF" w:rsidRPr="00526299" w:rsidRDefault="002B46EF" w:rsidP="002B46EF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Will take a minimum of 3-4 hours for availability.</w:t>
      </w:r>
    </w:p>
    <w:p w14:paraId="2BA5C571" w14:textId="77777777" w:rsidR="002B46EF" w:rsidRPr="00526299" w:rsidRDefault="002B46EF" w:rsidP="002B46EF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Tranexamic Acid (TXA).</w:t>
      </w:r>
    </w:p>
    <w:p w14:paraId="1194418B" w14:textId="77777777" w:rsidR="002B46EF" w:rsidRPr="00526299" w:rsidRDefault="002B46EF" w:rsidP="002B46EF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Administration is recommended for all trauma patients within 3 hours of the time of injury who are deemed candidates for massive transfusion.</w:t>
      </w:r>
    </w:p>
    <w:p w14:paraId="7FA31B87" w14:textId="77777777" w:rsidR="002B46EF" w:rsidRPr="00526299" w:rsidRDefault="002B46EF" w:rsidP="002B46EF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Exception for the administration of TXA in trauma patients is for isolated head injury.</w:t>
      </w:r>
    </w:p>
    <w:p w14:paraId="2F64066D" w14:textId="77777777" w:rsidR="002B46EF" w:rsidRPr="00526299" w:rsidRDefault="002B46EF" w:rsidP="002B46EF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TXA should not be used in patients with massive gastrointestinal bleeding.</w:t>
      </w:r>
    </w:p>
    <w:p w14:paraId="2B574B28" w14:textId="77777777" w:rsidR="002B46EF" w:rsidRPr="00526299" w:rsidRDefault="002B46EF" w:rsidP="002B46EF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Calcium.</w:t>
      </w:r>
    </w:p>
    <w:p w14:paraId="4EEB02EA" w14:textId="77777777" w:rsidR="002B46EF" w:rsidRPr="00526299" w:rsidRDefault="002B46EF" w:rsidP="002B46EF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The citrate preservative in blood products binds to serum calcium making it inactive.</w:t>
      </w:r>
    </w:p>
    <w:p w14:paraId="28DBAC7E" w14:textId="77777777" w:rsidR="002B46EF" w:rsidRPr="00526299" w:rsidRDefault="002B46EF" w:rsidP="002B46EF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Hypocalcemia is problematic as it causes coagulopathy.</w:t>
      </w:r>
    </w:p>
    <w:p w14:paraId="0E751D51" w14:textId="77777777" w:rsidR="002B46EF" w:rsidRPr="00526299" w:rsidRDefault="002B46EF" w:rsidP="002B46EF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Administer 1 gm of calcium chloride or 3 gm of calcium gluconate for each round (6 units of PRBCs) of transfusion.</w:t>
      </w:r>
    </w:p>
    <w:p w14:paraId="3DF2611A" w14:textId="77777777" w:rsidR="002B46EF" w:rsidRPr="00526299" w:rsidRDefault="002B46EF" w:rsidP="002B46EF">
      <w:pPr>
        <w:pStyle w:val="ListParagraph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Measurement of ionized calcium can help guide calcium administration.</w:t>
      </w:r>
    </w:p>
    <w:p w14:paraId="1683F086" w14:textId="77777777" w:rsidR="002B46EF" w:rsidRPr="00526299" w:rsidRDefault="002B46EF" w:rsidP="002B46EF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Consider reversal of anticoagulant medications.</w:t>
      </w:r>
    </w:p>
    <w:p w14:paraId="5EAF027E" w14:textId="77777777" w:rsidR="002B46EF" w:rsidRPr="00526299" w:rsidRDefault="002B46EF" w:rsidP="002B46EF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Avoid acidosis.</w:t>
      </w:r>
    </w:p>
    <w:p w14:paraId="7AFF965A" w14:textId="77777777" w:rsidR="002B46EF" w:rsidRPr="00526299" w:rsidRDefault="002B46EF" w:rsidP="002B46EF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Avoid hypothermia.</w:t>
      </w:r>
    </w:p>
    <w:p w14:paraId="3A380131" w14:textId="77777777" w:rsidR="002B46EF" w:rsidRPr="00526299" w:rsidRDefault="002B46EF" w:rsidP="002B46E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11929071" w14:textId="77777777" w:rsidR="002B46EF" w:rsidRPr="00482811" w:rsidRDefault="002B46EF" w:rsidP="002B46EF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482811">
        <w:rPr>
          <w:rFonts w:ascii="Times New Roman" w:hAnsi="Times New Roman" w:cs="Times New Roman"/>
          <w:sz w:val="20"/>
          <w:szCs w:val="20"/>
          <w:u w:val="single"/>
        </w:rPr>
        <w:t>Disposition:</w:t>
      </w:r>
    </w:p>
    <w:p w14:paraId="3EBBF826" w14:textId="77777777" w:rsidR="002B46EF" w:rsidRPr="00526299" w:rsidRDefault="002B46EF" w:rsidP="002B46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C2B8D04" w14:textId="77777777" w:rsidR="002B46EF" w:rsidRPr="00526299" w:rsidRDefault="002B46EF" w:rsidP="002B46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Appropriate consult and/or transfer to designated medical facility as warranted by patient’s condition.</w:t>
      </w:r>
    </w:p>
    <w:p w14:paraId="3DCDA9AC" w14:textId="77777777" w:rsidR="002B46EF" w:rsidRPr="00526299" w:rsidRDefault="002B46EF" w:rsidP="002B46EF">
      <w:pPr>
        <w:pStyle w:val="ListParagraph"/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14:paraId="15F2EF72" w14:textId="77777777" w:rsidR="002B46EF" w:rsidRPr="00526299" w:rsidRDefault="002B46EF" w:rsidP="002B46E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0"/>
          <w:szCs w:val="20"/>
          <w:u w:val="single"/>
        </w:rPr>
      </w:pPr>
      <w:r w:rsidRPr="00526299">
        <w:rPr>
          <w:rFonts w:ascii="Times New Roman" w:hAnsi="Times New Roman" w:cs="Times New Roman"/>
          <w:sz w:val="20"/>
          <w:szCs w:val="20"/>
          <w:u w:val="single"/>
        </w:rPr>
        <w:t>Bibliography</w:t>
      </w:r>
      <w:r>
        <w:rPr>
          <w:rFonts w:ascii="Times New Roman" w:hAnsi="Times New Roman" w:cs="Times New Roman"/>
          <w:sz w:val="20"/>
          <w:szCs w:val="20"/>
          <w:u w:val="single"/>
        </w:rPr>
        <w:t>:</w:t>
      </w:r>
    </w:p>
    <w:p w14:paraId="23D8B897" w14:textId="77777777" w:rsidR="002B46EF" w:rsidRPr="00526299" w:rsidRDefault="002B46EF" w:rsidP="002B46E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14:paraId="4C2E39F8" w14:textId="77777777" w:rsidR="002B46EF" w:rsidRPr="00526299" w:rsidRDefault="002B46EF" w:rsidP="002B46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American College of Surgeons, Trauma Quality Improvement Program (2014). Massive Transfusion in Trauma Guidelines.</w:t>
      </w:r>
    </w:p>
    <w:p w14:paraId="2472B304" w14:textId="77777777" w:rsidR="002B46EF" w:rsidRPr="00526299" w:rsidRDefault="002B46EF" w:rsidP="002B46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F4A64B6" w14:textId="77777777" w:rsidR="002B46EF" w:rsidRPr="00526299" w:rsidRDefault="002B46EF" w:rsidP="002B46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Helman, Anton (2021). Massive Transfusion Protocols: The 7 Ts. Retrieved from: https://acepnow.com/article/massive-hemorrhage-protocols-the-7-ts.</w:t>
      </w:r>
    </w:p>
    <w:p w14:paraId="4406862A" w14:textId="77777777" w:rsidR="002B46EF" w:rsidRPr="00526299" w:rsidRDefault="002B46EF" w:rsidP="002B46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955D040" w14:textId="77777777" w:rsidR="002B46EF" w:rsidRPr="00526299" w:rsidRDefault="002B46EF" w:rsidP="002B46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lastRenderedPageBreak/>
        <w:t>Hess, John R. (2021). Massive Blood Transfusion. Uptodate.com. Retrieved from: https://uptodate.com/contents/massive-blood-transfusion.</w:t>
      </w:r>
    </w:p>
    <w:p w14:paraId="7C22FCAA" w14:textId="77777777" w:rsidR="002B46EF" w:rsidRPr="00526299" w:rsidRDefault="002B46EF" w:rsidP="002B46E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14:paraId="654408A8" w14:textId="77777777" w:rsidR="002B46EF" w:rsidRPr="00526299" w:rsidRDefault="002B46EF" w:rsidP="002B46E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Woods, A.D. et al. (2019). Lippincott Nursing Procedures, Eighth Edition. Philadelphia: Wolters Kluwer, pp. 483-486.</w:t>
      </w:r>
    </w:p>
    <w:p w14:paraId="7E0CFB74" w14:textId="77777777" w:rsidR="002B46EF" w:rsidRPr="00526299" w:rsidRDefault="002B46EF" w:rsidP="002B46E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0"/>
          <w:szCs w:val="20"/>
          <w:u w:val="single"/>
        </w:rPr>
      </w:pPr>
    </w:p>
    <w:p w14:paraId="53179CF5" w14:textId="77777777" w:rsidR="002B46EF" w:rsidRPr="00526299" w:rsidRDefault="002B46EF" w:rsidP="002B46E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0"/>
          <w:szCs w:val="20"/>
          <w:u w:val="single"/>
        </w:rPr>
      </w:pPr>
      <w:r w:rsidRPr="00526299">
        <w:rPr>
          <w:rFonts w:ascii="Times New Roman" w:hAnsi="Times New Roman" w:cs="Times New Roman"/>
          <w:sz w:val="20"/>
          <w:szCs w:val="20"/>
          <w:u w:val="single"/>
        </w:rPr>
        <w:t>Rescission:</w:t>
      </w:r>
    </w:p>
    <w:p w14:paraId="4BED3ABF" w14:textId="77777777" w:rsidR="002B46EF" w:rsidRPr="00526299" w:rsidRDefault="002B46EF" w:rsidP="002B46E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14:paraId="66F37FC2" w14:textId="77777777" w:rsidR="002B46EF" w:rsidRPr="00526299" w:rsidRDefault="002B46EF" w:rsidP="002B46E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eastAsia="MingLiU-ExtB" w:hAnsi="Times New Roman" w:cs="Times New Roman"/>
          <w:sz w:val="20"/>
          <w:szCs w:val="20"/>
        </w:rPr>
        <w:t>This is a new policy, and therefore, does not rescind or replace any other.</w:t>
      </w:r>
    </w:p>
    <w:p w14:paraId="26793588" w14:textId="77777777" w:rsidR="002B46EF" w:rsidRPr="00526299" w:rsidRDefault="002B46EF" w:rsidP="002B46E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14:paraId="13076625" w14:textId="77777777" w:rsidR="002B46EF" w:rsidRDefault="002B46EF" w:rsidP="002B46E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14:paraId="1DE654B6" w14:textId="77777777" w:rsidR="002B46EF" w:rsidRDefault="002B46EF" w:rsidP="002B46E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14:paraId="284C9798" w14:textId="77777777" w:rsidR="002B46EF" w:rsidRDefault="002B46EF" w:rsidP="002B46E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14:paraId="1D607504" w14:textId="77777777" w:rsidR="002B46EF" w:rsidRPr="00526299" w:rsidRDefault="002B46EF" w:rsidP="002B46EF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14:paraId="1875E948" w14:textId="77777777" w:rsidR="002B46EF" w:rsidRPr="00526299" w:rsidRDefault="002B46EF" w:rsidP="002B46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___________________________________________</w:t>
      </w:r>
      <w:r w:rsidRPr="00526299">
        <w:rPr>
          <w:rFonts w:ascii="Times New Roman" w:hAnsi="Times New Roman" w:cs="Times New Roman"/>
          <w:sz w:val="20"/>
          <w:szCs w:val="20"/>
        </w:rPr>
        <w:tab/>
      </w:r>
      <w:r w:rsidRPr="00526299">
        <w:rPr>
          <w:rFonts w:ascii="Times New Roman" w:hAnsi="Times New Roman" w:cs="Times New Roman"/>
          <w:sz w:val="20"/>
          <w:szCs w:val="20"/>
        </w:rPr>
        <w:tab/>
      </w:r>
      <w:r w:rsidRPr="00526299">
        <w:rPr>
          <w:rFonts w:ascii="Times New Roman" w:hAnsi="Times New Roman" w:cs="Times New Roman"/>
          <w:sz w:val="20"/>
          <w:szCs w:val="20"/>
        </w:rPr>
        <w:tab/>
        <w:t>___________________________________________</w:t>
      </w:r>
    </w:p>
    <w:p w14:paraId="7E8325ED" w14:textId="77777777" w:rsidR="002B46EF" w:rsidRPr="00526299" w:rsidRDefault="002B46EF" w:rsidP="002B46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Tammy Berthiaume, MSN, RN</w:t>
      </w:r>
      <w:r w:rsidRPr="00526299">
        <w:rPr>
          <w:rFonts w:ascii="Times New Roman" w:hAnsi="Times New Roman" w:cs="Times New Roman"/>
          <w:sz w:val="20"/>
          <w:szCs w:val="20"/>
        </w:rPr>
        <w:tab/>
      </w:r>
      <w:r w:rsidRPr="00526299">
        <w:rPr>
          <w:rFonts w:ascii="Times New Roman" w:hAnsi="Times New Roman" w:cs="Times New Roman"/>
          <w:sz w:val="20"/>
          <w:szCs w:val="20"/>
        </w:rPr>
        <w:tab/>
      </w:r>
      <w:r w:rsidRPr="00526299">
        <w:rPr>
          <w:rFonts w:ascii="Times New Roman" w:hAnsi="Times New Roman" w:cs="Times New Roman"/>
          <w:sz w:val="20"/>
          <w:szCs w:val="20"/>
        </w:rPr>
        <w:tab/>
      </w:r>
      <w:r w:rsidRPr="00526299">
        <w:rPr>
          <w:rFonts w:ascii="Times New Roman" w:hAnsi="Times New Roman" w:cs="Times New Roman"/>
          <w:sz w:val="20"/>
          <w:szCs w:val="20"/>
        </w:rPr>
        <w:tab/>
      </w:r>
      <w:r w:rsidRPr="00526299">
        <w:rPr>
          <w:rFonts w:ascii="Times New Roman" w:hAnsi="Times New Roman" w:cs="Times New Roman"/>
          <w:sz w:val="20"/>
          <w:szCs w:val="20"/>
        </w:rPr>
        <w:tab/>
        <w:t>Brian O’Hearn, MBA, BSN, CEN</w:t>
      </w:r>
    </w:p>
    <w:p w14:paraId="0852ECD6" w14:textId="77777777" w:rsidR="002B46EF" w:rsidRPr="00526299" w:rsidRDefault="002B46EF" w:rsidP="002B46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Director, Emergency Department</w:t>
      </w:r>
      <w:r w:rsidRPr="00526299">
        <w:rPr>
          <w:rFonts w:ascii="Times New Roman" w:hAnsi="Times New Roman" w:cs="Times New Roman"/>
          <w:sz w:val="20"/>
          <w:szCs w:val="20"/>
        </w:rPr>
        <w:tab/>
      </w:r>
      <w:r w:rsidRPr="00526299">
        <w:rPr>
          <w:rFonts w:ascii="Times New Roman" w:hAnsi="Times New Roman" w:cs="Times New Roman"/>
          <w:sz w:val="20"/>
          <w:szCs w:val="20"/>
        </w:rPr>
        <w:tab/>
      </w:r>
      <w:r w:rsidRPr="00526299">
        <w:rPr>
          <w:rFonts w:ascii="Times New Roman" w:hAnsi="Times New Roman" w:cs="Times New Roman"/>
          <w:sz w:val="20"/>
          <w:szCs w:val="20"/>
        </w:rPr>
        <w:tab/>
      </w:r>
      <w:r w:rsidRPr="00526299">
        <w:rPr>
          <w:rFonts w:ascii="Times New Roman" w:hAnsi="Times New Roman" w:cs="Times New Roman"/>
          <w:sz w:val="20"/>
          <w:szCs w:val="20"/>
        </w:rPr>
        <w:tab/>
      </w:r>
      <w:r w:rsidRPr="00526299">
        <w:rPr>
          <w:rFonts w:ascii="Times New Roman" w:hAnsi="Times New Roman" w:cs="Times New Roman"/>
          <w:sz w:val="20"/>
          <w:szCs w:val="20"/>
        </w:rPr>
        <w:tab/>
        <w:t>Chief Nursing Officer/VP, Patient Care Services</w:t>
      </w:r>
    </w:p>
    <w:p w14:paraId="70548B68" w14:textId="77777777" w:rsidR="002B46EF" w:rsidRPr="00526299" w:rsidRDefault="002B46EF" w:rsidP="002B46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675016D" w14:textId="77777777" w:rsidR="002B46EF" w:rsidRPr="00526299" w:rsidRDefault="002B46EF" w:rsidP="002B46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1C49B20" w14:textId="77777777" w:rsidR="002B46EF" w:rsidRPr="00526299" w:rsidRDefault="002B46EF" w:rsidP="002B46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ab/>
      </w:r>
    </w:p>
    <w:p w14:paraId="6E7FDD15" w14:textId="77777777" w:rsidR="002B46EF" w:rsidRPr="00526299" w:rsidRDefault="002B46EF" w:rsidP="002B46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___________________________________________</w:t>
      </w:r>
    </w:p>
    <w:p w14:paraId="3A517341" w14:textId="77777777" w:rsidR="002B46EF" w:rsidRPr="00526299" w:rsidRDefault="002B46EF" w:rsidP="002B46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Arthur Ruediger, DO</w:t>
      </w:r>
    </w:p>
    <w:p w14:paraId="61BF627F" w14:textId="77777777" w:rsidR="002B46EF" w:rsidRPr="00526299" w:rsidRDefault="002B46EF" w:rsidP="002B46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6299">
        <w:rPr>
          <w:rFonts w:ascii="Times New Roman" w:hAnsi="Times New Roman" w:cs="Times New Roman"/>
          <w:sz w:val="20"/>
          <w:szCs w:val="20"/>
        </w:rPr>
        <w:t>Medical Director, Emergency Department</w:t>
      </w:r>
    </w:p>
    <w:p w14:paraId="063292D5" w14:textId="77777777" w:rsidR="002B46EF" w:rsidRPr="00526299" w:rsidRDefault="002B46EF" w:rsidP="002B46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4C7F959" w14:textId="77777777" w:rsidR="002B46EF" w:rsidRDefault="002B46EF"/>
    <w:sectPr w:rsidR="002B46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6211F"/>
    <w:multiLevelType w:val="hybridMultilevel"/>
    <w:tmpl w:val="03148928"/>
    <w:lvl w:ilvl="0" w:tplc="417ED7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B38D6"/>
    <w:multiLevelType w:val="hybridMultilevel"/>
    <w:tmpl w:val="4F0AA918"/>
    <w:lvl w:ilvl="0" w:tplc="7D602B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F2678C"/>
    <w:multiLevelType w:val="hybridMultilevel"/>
    <w:tmpl w:val="D090A846"/>
    <w:lvl w:ilvl="0" w:tplc="C61EFD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9D23A54"/>
    <w:multiLevelType w:val="hybridMultilevel"/>
    <w:tmpl w:val="0B7AAEC2"/>
    <w:lvl w:ilvl="0" w:tplc="5F48C6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0910CE6"/>
    <w:multiLevelType w:val="hybridMultilevel"/>
    <w:tmpl w:val="15000004"/>
    <w:lvl w:ilvl="0" w:tplc="7528F8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F25691"/>
    <w:multiLevelType w:val="hybridMultilevel"/>
    <w:tmpl w:val="F906FF3A"/>
    <w:lvl w:ilvl="0" w:tplc="2174C6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40350582">
    <w:abstractNumId w:val="5"/>
  </w:num>
  <w:num w:numId="2" w16cid:durableId="1479107497">
    <w:abstractNumId w:val="1"/>
  </w:num>
  <w:num w:numId="3" w16cid:durableId="1607081848">
    <w:abstractNumId w:val="4"/>
  </w:num>
  <w:num w:numId="4" w16cid:durableId="79761868">
    <w:abstractNumId w:val="2"/>
  </w:num>
  <w:num w:numId="5" w16cid:durableId="182059819">
    <w:abstractNumId w:val="0"/>
  </w:num>
  <w:num w:numId="6" w16cid:durableId="481309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79"/>
    <w:rsid w:val="001B2EDF"/>
    <w:rsid w:val="0025124F"/>
    <w:rsid w:val="002B46EF"/>
    <w:rsid w:val="00407E46"/>
    <w:rsid w:val="008028F8"/>
    <w:rsid w:val="00D34579"/>
    <w:rsid w:val="00FB0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40E41"/>
  <w15:chartTrackingRefBased/>
  <w15:docId w15:val="{2529265C-AD8D-4F13-807C-5DD61F83A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46EF"/>
    <w:pPr>
      <w:spacing w:after="200" w:line="276" w:lineRule="auto"/>
      <w:ind w:left="720"/>
      <w:contextualSpacing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844</Words>
  <Characters>4816</Characters>
  <Application>Microsoft Office Word</Application>
  <DocSecurity>0</DocSecurity>
  <Lines>40</Lines>
  <Paragraphs>11</Paragraphs>
  <ScaleCrop>false</ScaleCrop>
  <Company/>
  <LinksUpToDate>false</LinksUpToDate>
  <CharactersWithSpaces>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L Berthiaume</dc:creator>
  <cp:keywords/>
  <dc:description/>
  <cp:lastModifiedBy>Tammy L Berthiaume</cp:lastModifiedBy>
  <cp:revision>2</cp:revision>
  <dcterms:created xsi:type="dcterms:W3CDTF">2024-10-20T18:26:00Z</dcterms:created>
  <dcterms:modified xsi:type="dcterms:W3CDTF">2024-11-04T21:07:00Z</dcterms:modified>
</cp:coreProperties>
</file>